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32" w:rsidRPr="00AB21A5" w:rsidRDefault="00E74154" w:rsidP="0062190F">
      <w:pPr>
        <w:jc w:val="center"/>
        <w:rPr>
          <w:b/>
          <w:sz w:val="32"/>
          <w:szCs w:val="32"/>
        </w:rPr>
      </w:pPr>
      <w:bookmarkStart w:id="0" w:name="_GoBack"/>
      <w:bookmarkEnd w:id="0"/>
      <w:r w:rsidRPr="00AB21A5">
        <w:rPr>
          <w:b/>
          <w:sz w:val="32"/>
          <w:szCs w:val="32"/>
        </w:rPr>
        <w:t>CALIFORNIA STATE LIBRARY RULES</w:t>
      </w:r>
    </w:p>
    <w:p w:rsidR="0062190F" w:rsidRPr="00AB21A5" w:rsidRDefault="0062190F" w:rsidP="00077119">
      <w:pPr>
        <w:spacing w:line="240" w:lineRule="auto"/>
        <w:rPr>
          <w:sz w:val="28"/>
          <w:szCs w:val="28"/>
        </w:rPr>
      </w:pPr>
      <w:r w:rsidRPr="00AB21A5">
        <w:rPr>
          <w:sz w:val="28"/>
          <w:szCs w:val="28"/>
        </w:rPr>
        <w:t>Welcome to the California State Library! To ensure that library users and staff enjoy a safe, quiet, and peaceful environment in the California State Library which is conductive to reading, studying, and work, all persons using the library are expected to comply with the following rules.</w:t>
      </w:r>
    </w:p>
    <w:p w:rsidR="0062190F" w:rsidRPr="00AB21A5" w:rsidRDefault="0062190F" w:rsidP="00077119">
      <w:pPr>
        <w:pStyle w:val="ListParagraph"/>
        <w:numPr>
          <w:ilvl w:val="0"/>
          <w:numId w:val="1"/>
        </w:numPr>
        <w:spacing w:before="240" w:after="240" w:line="240" w:lineRule="auto"/>
        <w:ind w:hanging="720"/>
        <w:contextualSpacing w:val="0"/>
        <w:rPr>
          <w:b/>
          <w:sz w:val="28"/>
          <w:szCs w:val="28"/>
        </w:rPr>
      </w:pPr>
      <w:r w:rsidRPr="00AB21A5">
        <w:rPr>
          <w:b/>
          <w:sz w:val="28"/>
          <w:szCs w:val="28"/>
        </w:rPr>
        <w:t>The following are prohibited in the California State Library:</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Firearms or other dangerous or deadly weapons;</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Vandalizing, abusing, or misusing library materials, equipment or facilities;</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Any activity or condition which interferes with any person’s comfort or safety, including, but not limited to:</w:t>
      </w:r>
    </w:p>
    <w:p w:rsidR="0062190F" w:rsidRPr="00AB21A5" w:rsidRDefault="0062190F" w:rsidP="003E6AA6">
      <w:pPr>
        <w:pStyle w:val="ListParagraph"/>
        <w:numPr>
          <w:ilvl w:val="1"/>
          <w:numId w:val="2"/>
        </w:numPr>
        <w:spacing w:before="240" w:after="240" w:line="240" w:lineRule="auto"/>
        <w:ind w:left="2160" w:hanging="720"/>
        <w:contextualSpacing w:val="0"/>
        <w:rPr>
          <w:sz w:val="28"/>
          <w:szCs w:val="28"/>
        </w:rPr>
      </w:pPr>
      <w:r w:rsidRPr="00AB21A5">
        <w:rPr>
          <w:sz w:val="28"/>
          <w:szCs w:val="28"/>
        </w:rPr>
        <w:t>disturbing others by loud or unreasonable noise, offensive language, or insulting behavior;</w:t>
      </w:r>
    </w:p>
    <w:p w:rsidR="0062190F" w:rsidRPr="00AB21A5" w:rsidRDefault="0062190F" w:rsidP="003E6AA6">
      <w:pPr>
        <w:pStyle w:val="ListParagraph"/>
        <w:numPr>
          <w:ilvl w:val="1"/>
          <w:numId w:val="2"/>
        </w:numPr>
        <w:spacing w:before="240" w:after="240" w:line="240" w:lineRule="auto"/>
        <w:ind w:left="2160" w:hanging="720"/>
        <w:contextualSpacing w:val="0"/>
        <w:rPr>
          <w:sz w:val="28"/>
          <w:szCs w:val="28"/>
        </w:rPr>
      </w:pPr>
      <w:r w:rsidRPr="00AB21A5">
        <w:rPr>
          <w:sz w:val="28"/>
          <w:szCs w:val="28"/>
        </w:rPr>
        <w:t>indecent exposure</w:t>
      </w:r>
    </w:p>
    <w:p w:rsidR="0062190F" w:rsidRPr="00AB21A5" w:rsidRDefault="0062190F" w:rsidP="003E6AA6">
      <w:pPr>
        <w:pStyle w:val="ListParagraph"/>
        <w:numPr>
          <w:ilvl w:val="1"/>
          <w:numId w:val="2"/>
        </w:numPr>
        <w:spacing w:before="240" w:after="240" w:line="240" w:lineRule="auto"/>
        <w:ind w:left="2160" w:hanging="720"/>
        <w:contextualSpacing w:val="0"/>
        <w:rPr>
          <w:sz w:val="28"/>
          <w:szCs w:val="28"/>
        </w:rPr>
      </w:pPr>
      <w:r w:rsidRPr="00AB21A5">
        <w:rPr>
          <w:sz w:val="28"/>
          <w:szCs w:val="28"/>
        </w:rPr>
        <w:t>starting at another person or persons;</w:t>
      </w:r>
    </w:p>
    <w:p w:rsidR="0062190F" w:rsidRPr="00AB21A5" w:rsidRDefault="0062190F" w:rsidP="003E6AA6">
      <w:pPr>
        <w:pStyle w:val="ListParagraph"/>
        <w:numPr>
          <w:ilvl w:val="1"/>
          <w:numId w:val="2"/>
        </w:numPr>
        <w:spacing w:before="240" w:after="240" w:line="240" w:lineRule="auto"/>
        <w:ind w:left="2160" w:hanging="720"/>
        <w:contextualSpacing w:val="0"/>
        <w:rPr>
          <w:sz w:val="28"/>
          <w:szCs w:val="28"/>
        </w:rPr>
      </w:pPr>
      <w:r w:rsidRPr="00AB21A5">
        <w:rPr>
          <w:sz w:val="28"/>
          <w:szCs w:val="28"/>
        </w:rPr>
        <w:t>making offensive gestures, whether or not directed at another person; and</w:t>
      </w:r>
    </w:p>
    <w:p w:rsidR="0062190F" w:rsidRPr="00AB21A5" w:rsidRDefault="0062190F" w:rsidP="003E6AA6">
      <w:pPr>
        <w:pStyle w:val="ListParagraph"/>
        <w:numPr>
          <w:ilvl w:val="1"/>
          <w:numId w:val="2"/>
        </w:numPr>
        <w:spacing w:before="240" w:after="240" w:line="240" w:lineRule="auto"/>
        <w:ind w:left="2160" w:hanging="720"/>
        <w:contextualSpacing w:val="0"/>
        <w:rPr>
          <w:sz w:val="28"/>
          <w:szCs w:val="28"/>
        </w:rPr>
      </w:pPr>
      <w:r w:rsidRPr="00AB21A5">
        <w:rPr>
          <w:sz w:val="28"/>
          <w:szCs w:val="28"/>
        </w:rPr>
        <w:t>offensive, pervasive odor;</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Alcohol or drug use, or being under the influence of either;</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Use of audio equipment or other sound producing personal equipment in library service areas, including but not limited to the use of cellular telephones and other portable telecommunication devices;</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Eating or drinking;</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Smoking;</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Trespassing in “staff only” areas;</w:t>
      </w:r>
    </w:p>
    <w:p w:rsidR="0062190F" w:rsidRP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Animals other than service animals; and</w:t>
      </w:r>
    </w:p>
    <w:p w:rsidR="00AB21A5" w:rsidRDefault="0062190F" w:rsidP="00077119">
      <w:pPr>
        <w:pStyle w:val="ListParagraph"/>
        <w:numPr>
          <w:ilvl w:val="0"/>
          <w:numId w:val="2"/>
        </w:numPr>
        <w:spacing w:before="240" w:after="240" w:line="240" w:lineRule="auto"/>
        <w:ind w:left="1440" w:hanging="720"/>
        <w:contextualSpacing w:val="0"/>
        <w:rPr>
          <w:sz w:val="28"/>
          <w:szCs w:val="28"/>
        </w:rPr>
      </w:pPr>
      <w:r w:rsidRPr="00AB21A5">
        <w:rPr>
          <w:sz w:val="28"/>
          <w:szCs w:val="28"/>
        </w:rPr>
        <w:t>Any use of the library or its facilities for other than a library purpose, including but not limited to loitering or sleeping.</w:t>
      </w:r>
    </w:p>
    <w:p w:rsidR="00AB21A5" w:rsidRDefault="00AB21A5">
      <w:pPr>
        <w:rPr>
          <w:sz w:val="28"/>
          <w:szCs w:val="28"/>
        </w:rPr>
      </w:pPr>
      <w:r>
        <w:rPr>
          <w:sz w:val="28"/>
          <w:szCs w:val="28"/>
        </w:rPr>
        <w:br w:type="page"/>
      </w:r>
    </w:p>
    <w:p w:rsidR="0062190F" w:rsidRPr="00073F99" w:rsidRDefault="0062190F" w:rsidP="00077119">
      <w:pPr>
        <w:pStyle w:val="ListParagraph"/>
        <w:numPr>
          <w:ilvl w:val="0"/>
          <w:numId w:val="1"/>
        </w:numPr>
        <w:spacing w:before="240" w:after="240" w:line="240" w:lineRule="auto"/>
        <w:ind w:hanging="720"/>
        <w:contextualSpacing w:val="0"/>
        <w:rPr>
          <w:b/>
          <w:sz w:val="28"/>
          <w:szCs w:val="28"/>
        </w:rPr>
      </w:pPr>
      <w:r w:rsidRPr="00073F99">
        <w:rPr>
          <w:b/>
          <w:sz w:val="28"/>
          <w:szCs w:val="28"/>
        </w:rPr>
        <w:lastRenderedPageBreak/>
        <w:t>Other rules and restrictions</w:t>
      </w:r>
    </w:p>
    <w:p w:rsidR="0062190F" w:rsidRPr="00073F99" w:rsidRDefault="0062190F" w:rsidP="00077119">
      <w:pPr>
        <w:pStyle w:val="ListParagraph"/>
        <w:numPr>
          <w:ilvl w:val="0"/>
          <w:numId w:val="3"/>
        </w:numPr>
        <w:spacing w:before="240" w:after="240" w:line="240" w:lineRule="auto"/>
        <w:ind w:left="1440" w:hanging="720"/>
        <w:contextualSpacing w:val="0"/>
        <w:rPr>
          <w:sz w:val="28"/>
          <w:szCs w:val="28"/>
        </w:rPr>
      </w:pPr>
      <w:r w:rsidRPr="00073F99">
        <w:rPr>
          <w:sz w:val="28"/>
          <w:szCs w:val="28"/>
        </w:rPr>
        <w:t>The State Library reserves the right to inspect briefcases, backpacks or other personal property for library materials;</w:t>
      </w:r>
    </w:p>
    <w:p w:rsidR="0062190F" w:rsidRPr="00073F99" w:rsidRDefault="0062190F" w:rsidP="00077119">
      <w:pPr>
        <w:spacing w:before="240" w:after="240" w:line="240" w:lineRule="auto"/>
        <w:ind w:left="1440"/>
        <w:rPr>
          <w:sz w:val="28"/>
          <w:szCs w:val="28"/>
        </w:rPr>
      </w:pPr>
      <w:r w:rsidRPr="00073F99">
        <w:rPr>
          <w:sz w:val="28"/>
          <w:szCs w:val="28"/>
        </w:rPr>
        <w:t>NOTE:</w:t>
      </w:r>
      <w:r w:rsidRPr="00073F99">
        <w:rPr>
          <w:sz w:val="28"/>
          <w:szCs w:val="28"/>
        </w:rPr>
        <w:tab/>
        <w:t>A person employed by a library facility may detain a person for a reasonable time for the purpose of conducting an investigation in a reasonable manner whenever the person employed by a library facility has probably cause to believe the person to be detained is attempting to unlawfully remove or has unlawfully removed books or library materials from the premises of the library facility. (Penal Code Section 490.5(f</w:t>
      </w:r>
      <w:proofErr w:type="gramStart"/>
      <w:r w:rsidRPr="00073F99">
        <w:rPr>
          <w:sz w:val="28"/>
          <w:szCs w:val="28"/>
        </w:rPr>
        <w:t>)(</w:t>
      </w:r>
      <w:proofErr w:type="gramEnd"/>
      <w:r w:rsidRPr="00073F99">
        <w:rPr>
          <w:sz w:val="28"/>
          <w:szCs w:val="28"/>
        </w:rPr>
        <w:t>1).)</w:t>
      </w:r>
    </w:p>
    <w:p w:rsidR="0062190F" w:rsidRPr="00073F99" w:rsidRDefault="0062190F" w:rsidP="00077119">
      <w:pPr>
        <w:pStyle w:val="ListParagraph"/>
        <w:numPr>
          <w:ilvl w:val="0"/>
          <w:numId w:val="3"/>
        </w:numPr>
        <w:spacing w:before="240" w:after="240" w:line="240" w:lineRule="auto"/>
        <w:ind w:left="1440" w:hanging="720"/>
        <w:contextualSpacing w:val="0"/>
        <w:rPr>
          <w:sz w:val="28"/>
          <w:szCs w:val="28"/>
        </w:rPr>
      </w:pPr>
      <w:r w:rsidRPr="00073F99">
        <w:rPr>
          <w:sz w:val="28"/>
          <w:szCs w:val="28"/>
        </w:rPr>
        <w:t>Shoes or other footwear must be worn in the library;</w:t>
      </w:r>
    </w:p>
    <w:p w:rsidR="0062190F" w:rsidRPr="00073F99" w:rsidRDefault="0062190F" w:rsidP="00077119">
      <w:pPr>
        <w:pStyle w:val="ListParagraph"/>
        <w:numPr>
          <w:ilvl w:val="0"/>
          <w:numId w:val="3"/>
        </w:numPr>
        <w:spacing w:before="240" w:after="240" w:line="240" w:lineRule="auto"/>
        <w:ind w:left="1440" w:hanging="720"/>
        <w:contextualSpacing w:val="0"/>
        <w:rPr>
          <w:sz w:val="28"/>
          <w:szCs w:val="28"/>
        </w:rPr>
      </w:pPr>
      <w:r w:rsidRPr="00073F99">
        <w:rPr>
          <w:sz w:val="28"/>
          <w:szCs w:val="28"/>
        </w:rPr>
        <w:t>Copy machine use is limited to 10 minutes of continuous copying; and</w:t>
      </w:r>
    </w:p>
    <w:p w:rsidR="0062190F" w:rsidRPr="00073F99" w:rsidRDefault="0062190F" w:rsidP="00077119">
      <w:pPr>
        <w:pStyle w:val="ListParagraph"/>
        <w:numPr>
          <w:ilvl w:val="0"/>
          <w:numId w:val="3"/>
        </w:numPr>
        <w:spacing w:before="240" w:after="240" w:line="240" w:lineRule="auto"/>
        <w:ind w:left="1440" w:hanging="720"/>
        <w:contextualSpacing w:val="0"/>
        <w:rPr>
          <w:sz w:val="28"/>
          <w:szCs w:val="28"/>
        </w:rPr>
      </w:pPr>
      <w:r w:rsidRPr="00073F99">
        <w:rPr>
          <w:sz w:val="28"/>
          <w:szCs w:val="28"/>
        </w:rPr>
        <w:t>CD-ROM, microform reader/printer, and computer terminal use is subject to sign=in, and is limited to 30 minutes of continuous use.</w:t>
      </w:r>
    </w:p>
    <w:p w:rsidR="0062190F" w:rsidRPr="00073F99" w:rsidRDefault="0062190F" w:rsidP="00077119">
      <w:pPr>
        <w:spacing w:before="240" w:after="240" w:line="240" w:lineRule="auto"/>
        <w:ind w:left="720"/>
        <w:rPr>
          <w:b/>
          <w:sz w:val="28"/>
          <w:szCs w:val="28"/>
        </w:rPr>
      </w:pPr>
      <w:r w:rsidRPr="00073F99">
        <w:rPr>
          <w:b/>
          <w:sz w:val="28"/>
          <w:szCs w:val="28"/>
        </w:rPr>
        <w:t>Violation of any of the above rules may warrant exclusion from the California State Library.</w:t>
      </w:r>
    </w:p>
    <w:p w:rsidR="0062190F" w:rsidRPr="00073F99" w:rsidRDefault="0062190F" w:rsidP="00077119">
      <w:pPr>
        <w:spacing w:before="240" w:after="240" w:line="240" w:lineRule="auto"/>
        <w:ind w:left="720"/>
        <w:rPr>
          <w:sz w:val="28"/>
          <w:szCs w:val="28"/>
        </w:rPr>
      </w:pPr>
    </w:p>
    <w:p w:rsidR="0062190F" w:rsidRPr="00073F99" w:rsidRDefault="0062190F" w:rsidP="00077119">
      <w:pPr>
        <w:spacing w:before="240" w:after="240" w:line="240" w:lineRule="auto"/>
        <w:ind w:left="720"/>
        <w:rPr>
          <w:sz w:val="24"/>
          <w:szCs w:val="28"/>
        </w:rPr>
      </w:pPr>
      <w:r w:rsidRPr="00073F99">
        <w:rPr>
          <w:sz w:val="24"/>
          <w:szCs w:val="28"/>
        </w:rPr>
        <w:t>9/95</w:t>
      </w:r>
    </w:p>
    <w:sectPr w:rsidR="0062190F" w:rsidRPr="00073F99" w:rsidSect="00AB21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784C"/>
    <w:multiLevelType w:val="hybridMultilevel"/>
    <w:tmpl w:val="815E900E"/>
    <w:lvl w:ilvl="0" w:tplc="BCA6A44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CB056D"/>
    <w:multiLevelType w:val="hybridMultilevel"/>
    <w:tmpl w:val="493C1606"/>
    <w:lvl w:ilvl="0" w:tplc="7A12A2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4B35D4"/>
    <w:multiLevelType w:val="hybridMultilevel"/>
    <w:tmpl w:val="3252F5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54"/>
    <w:rsid w:val="00073F99"/>
    <w:rsid w:val="00077119"/>
    <w:rsid w:val="003E6AA6"/>
    <w:rsid w:val="0062190F"/>
    <w:rsid w:val="00A82532"/>
    <w:rsid w:val="00A86640"/>
    <w:rsid w:val="00AB21A5"/>
    <w:rsid w:val="00E67393"/>
    <w:rsid w:val="00E7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E1DB19F5</Template>
  <TotalTime>24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BTBL</dc:creator>
  <cp:lastModifiedBy>Anderson, Sarah@CSL</cp:lastModifiedBy>
  <cp:revision>4</cp:revision>
  <dcterms:created xsi:type="dcterms:W3CDTF">2016-01-04T23:26:00Z</dcterms:created>
  <dcterms:modified xsi:type="dcterms:W3CDTF">2016-01-05T20:25:00Z</dcterms:modified>
</cp:coreProperties>
</file>